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4133" w14:textId="77777777" w:rsidR="006C153B" w:rsidRDefault="006C153B">
      <w:pPr>
        <w:rPr>
          <w:b/>
          <w:bCs/>
        </w:rPr>
      </w:pPr>
    </w:p>
    <w:p w14:paraId="7C40714E" w14:textId="58696E3A" w:rsidR="00EE0DF0" w:rsidRDefault="00EE0DF0" w:rsidP="00EE0DF0">
      <w:pPr>
        <w:rPr>
          <w:sz w:val="28"/>
          <w:szCs w:val="28"/>
        </w:rPr>
      </w:pPr>
      <w:r w:rsidRPr="00EE0DF0">
        <w:rPr>
          <w:b/>
          <w:bCs/>
          <w:sz w:val="28"/>
          <w:szCs w:val="28"/>
        </w:rPr>
        <w:t>Windjahresleistungen nach der mittleren Windgeschwindigkeit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E3D45">
        <w:rPr>
          <w:sz w:val="24"/>
          <w:szCs w:val="24"/>
        </w:rPr>
        <w:t xml:space="preserve">Dr. U. Walz, </w:t>
      </w:r>
      <w:r>
        <w:rPr>
          <w:sz w:val="24"/>
          <w:szCs w:val="24"/>
        </w:rPr>
        <w:t>J. Übelhör 3</w:t>
      </w:r>
      <w:r w:rsidRPr="002E3D45">
        <w:rPr>
          <w:sz w:val="24"/>
          <w:szCs w:val="24"/>
        </w:rPr>
        <w:t>/2025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2FF49421" w14:textId="3698DD38" w:rsidR="00B61469" w:rsidRDefault="00903FEC">
      <w:pPr>
        <w:rPr>
          <w:vertAlign w:val="superscript"/>
        </w:rPr>
      </w:pPr>
      <w:r w:rsidRPr="008E1856">
        <w:rPr>
          <w:b/>
          <w:bCs/>
        </w:rPr>
        <w:t>Berechnungen zur Windjahresleistung am Beispiel der mittleren Windgeschwindigkeit an 5 VRG Wind; Daten zu Wind</w:t>
      </w:r>
      <w:r w:rsidR="006C153B">
        <w:rPr>
          <w:b/>
          <w:bCs/>
        </w:rPr>
        <w:t>-</w:t>
      </w:r>
      <w:r w:rsidRPr="008E1856">
        <w:rPr>
          <w:b/>
          <w:bCs/>
        </w:rPr>
        <w:t>V aus Energieatlas 160 m Höhe; Literaturwerte zu Wirkungsgrad und Gestehungskosten.</w:t>
      </w:r>
      <w:r w:rsidRPr="008E1856">
        <w:rPr>
          <w:b/>
          <w:bCs/>
        </w:rPr>
        <w:br/>
      </w:r>
      <w:r w:rsidRPr="008E1856">
        <w:rPr>
          <w:b/>
          <w:bCs/>
          <w:sz w:val="24"/>
          <w:szCs w:val="24"/>
        </w:rPr>
        <w:t xml:space="preserve">Formel: P=1/2 </w:t>
      </w:r>
      <w:r w:rsidRPr="008E1856">
        <w:rPr>
          <w:rFonts w:cstheme="minorHAnsi"/>
          <w:b/>
          <w:bCs/>
          <w:sz w:val="24"/>
          <w:szCs w:val="24"/>
        </w:rPr>
        <w:t>π</w:t>
      </w:r>
      <w:r w:rsidRPr="008E1856">
        <w:rPr>
          <w:b/>
          <w:bCs/>
          <w:sz w:val="24"/>
          <w:szCs w:val="24"/>
        </w:rPr>
        <w:t xml:space="preserve"> r</w:t>
      </w:r>
      <w:r w:rsidRPr="008E1856">
        <w:rPr>
          <w:b/>
          <w:bCs/>
          <w:sz w:val="24"/>
          <w:szCs w:val="24"/>
          <w:vertAlign w:val="superscript"/>
        </w:rPr>
        <w:t xml:space="preserve">2 </w:t>
      </w:r>
      <w:r w:rsidRPr="008E1856">
        <w:rPr>
          <w:rFonts w:cstheme="minorHAnsi"/>
          <w:b/>
          <w:bCs/>
          <w:sz w:val="24"/>
          <w:szCs w:val="24"/>
        </w:rPr>
        <w:t>ρ</w:t>
      </w:r>
      <w:r w:rsidRPr="008E1856">
        <w:rPr>
          <w:b/>
          <w:bCs/>
          <w:sz w:val="24"/>
          <w:szCs w:val="24"/>
        </w:rPr>
        <w:t xml:space="preserve"> V</w:t>
      </w:r>
      <w:r w:rsidRPr="008E1856">
        <w:rPr>
          <w:b/>
          <w:bCs/>
          <w:sz w:val="24"/>
          <w:szCs w:val="24"/>
          <w:vertAlign w:val="superscript"/>
        </w:rPr>
        <w:t>3</w:t>
      </w:r>
      <w:r>
        <w:rPr>
          <w:vertAlign w:val="superscript"/>
        </w:rPr>
        <w:t xml:space="preserve"> </w:t>
      </w:r>
    </w:p>
    <w:p w14:paraId="76BCA448" w14:textId="6AAAF564" w:rsidR="00903FEC" w:rsidRDefault="006C153B">
      <w:pPr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6F0E1E59" wp14:editId="55B79C33">
            <wp:extent cx="8648700" cy="3916842"/>
            <wp:effectExtent l="0" t="0" r="0" b="7620"/>
            <wp:docPr id="84723822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254" cy="3927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0DBC6" w14:textId="77777777" w:rsidR="0095464A" w:rsidRDefault="00903FEC">
      <w:r w:rsidRPr="00903FEC">
        <w:rPr>
          <w:b/>
          <w:bCs/>
          <w:u w:val="single"/>
        </w:rPr>
        <w:t xml:space="preserve">Auswertungen: </w:t>
      </w:r>
      <w:r>
        <w:rPr>
          <w:b/>
          <w:bCs/>
          <w:u w:val="single"/>
        </w:rPr>
        <w:br/>
      </w:r>
      <w:r w:rsidRPr="00903FEC">
        <w:t xml:space="preserve">- </w:t>
      </w:r>
      <w:r w:rsidR="00616AFB">
        <w:t>30 % Mehrertrag bei Erhöhung der mittleren WindV von 5,5 auf 6 m/s</w:t>
      </w:r>
      <w:r w:rsidR="00616AFB">
        <w:br/>
        <w:t>- 80 % Mehrertrag bei Erhöhung der mittleren WindV von 5,5 auf 6,7 m/s</w:t>
      </w:r>
    </w:p>
    <w:p w14:paraId="5BDDDBC6" w14:textId="292E7A68" w:rsidR="00F73446" w:rsidRDefault="0095464A" w:rsidP="0095464A">
      <w:r w:rsidRPr="0095464A">
        <w:rPr>
          <w:b/>
          <w:bCs/>
          <w:u w:val="single"/>
        </w:rPr>
        <w:lastRenderedPageBreak/>
        <w:t>Folgerungen:</w:t>
      </w:r>
      <w:r>
        <w:rPr>
          <w:b/>
          <w:bCs/>
          <w:u w:val="single"/>
        </w:rPr>
        <w:br/>
      </w:r>
      <w:r>
        <w:t xml:space="preserve">Die </w:t>
      </w:r>
      <w:r w:rsidRPr="0095464A">
        <w:rPr>
          <w:b/>
          <w:bCs/>
        </w:rPr>
        <w:t>Hauptertragszone</w:t>
      </w:r>
      <w:r>
        <w:t xml:space="preserve"> im Binnenland liegt zwischen 3 und 12 m/s WindV. In diesem Bereich steigt die Generatorleistung exponentiell bis die Nennleistung oberhalb von 12 m/s erreicht ist und bleibt dann konstant. </w:t>
      </w:r>
      <w:r>
        <w:br/>
        <w:t xml:space="preserve">Für </w:t>
      </w:r>
      <w:r w:rsidRPr="00064464">
        <w:rPr>
          <w:b/>
          <w:bCs/>
        </w:rPr>
        <w:t xml:space="preserve">Schwachwindstandorte </w:t>
      </w:r>
      <w:r w:rsidRPr="0095464A">
        <w:t>im Binnenland</w:t>
      </w:r>
      <w:r>
        <w:t xml:space="preserve"> ist für ein optimales Verhältnis von Windenergie und Energieausbeute zu folgern, es kommt besonders darauf an, windhöffige Flächen zu nutzen. Scheinbar geringe Unterschiede in der Wind</w:t>
      </w:r>
      <w:r w:rsidR="00F73446">
        <w:t xml:space="preserve"> </w:t>
      </w:r>
      <w:r>
        <w:t xml:space="preserve">V tragen große Unterschiede im Ertrag nach sich. </w:t>
      </w:r>
      <w:r w:rsidR="00F73446">
        <w:br/>
        <w:t>Der physikalische Grund, dass die kinetische Energie der Luft mit der 3. Potenz der Windgeschwindigkeit zunimmt, macht es notwendig, Windenergieanlagen an Orten mit möglichst hohen Windgeschwindigkeiten aufzustellen.</w:t>
      </w:r>
      <w:r w:rsidR="00F73446">
        <w:br/>
        <w:t>D</w:t>
      </w:r>
      <w:r w:rsidR="00615751">
        <w:t xml:space="preserve">ie </w:t>
      </w:r>
      <w:r w:rsidR="00615751" w:rsidRPr="00615751">
        <w:rPr>
          <w:b/>
          <w:bCs/>
        </w:rPr>
        <w:t>Wirtschaftlichkeit</w:t>
      </w:r>
      <w:r w:rsidR="00615751">
        <w:t xml:space="preserve">, </w:t>
      </w:r>
      <w:r w:rsidR="00F73446" w:rsidRPr="00615751">
        <w:t xml:space="preserve">die </w:t>
      </w:r>
      <w:r w:rsidR="00615751">
        <w:t xml:space="preserve">Kosten-Nutzen-Relation ist entscheidend vom Standort abhängig. </w:t>
      </w:r>
      <w:r w:rsidR="008E1856">
        <w:t xml:space="preserve">Die Stromgestehungskosten hängen von der Standortgüte ab. </w:t>
      </w:r>
    </w:p>
    <w:p w14:paraId="36B449FC" w14:textId="7171E9E8" w:rsidR="00A5490A" w:rsidRDefault="00C349F2" w:rsidP="0095464A">
      <w:r w:rsidRPr="00C349F2">
        <w:rPr>
          <w:b/>
          <w:bCs/>
          <w:u w:val="single"/>
        </w:rPr>
        <w:t>Berechnungen</w:t>
      </w:r>
      <w:r>
        <w:rPr>
          <w:b/>
          <w:bCs/>
          <w:u w:val="single"/>
        </w:rPr>
        <w:t>:</w:t>
      </w:r>
      <w:r>
        <w:rPr>
          <w:b/>
          <w:bCs/>
          <w:u w:val="single"/>
        </w:rPr>
        <w:br/>
      </w:r>
      <w:r w:rsidR="00A5490A">
        <w:t xml:space="preserve">Die </w:t>
      </w:r>
      <w:r w:rsidR="00A5490A" w:rsidRPr="00A5490A">
        <w:rPr>
          <w:b/>
          <w:bCs/>
        </w:rPr>
        <w:t>mittlere Windgeschwindigkeit</w:t>
      </w:r>
      <w:r w:rsidR="00A5490A">
        <w:t xml:space="preserve"> </w:t>
      </w:r>
      <w:r w:rsidR="00A5490A" w:rsidRPr="001B4114">
        <w:t>stellt den Jahresmittelwert der Windgeschwindigkeiten in [m/s] in einer bestimmten Höhe an einem Standort dar.</w:t>
      </w:r>
      <w:r w:rsidR="00A5490A">
        <w:t xml:space="preserve"> Sie eignet sich zur vergleichenden Darstellung der Winderträge an verschiedenen Standorten. Sie kann für 8760 Stunden angesetzt werden, da sie eine bereits gemittelte Größe darstellt. Sie darf nicht mit der </w:t>
      </w:r>
      <w:r w:rsidR="00A5490A" w:rsidRPr="00A5490A">
        <w:rPr>
          <w:b/>
          <w:bCs/>
        </w:rPr>
        <w:t>mittleren Windleistungsdichte</w:t>
      </w:r>
      <w:r w:rsidR="00A5490A">
        <w:t xml:space="preserve"> verwechselt werden. Diese zeigt in W/</w:t>
      </w:r>
      <w:r w:rsidR="00A5490A" w:rsidRPr="00A5490A">
        <w:t>m</w:t>
      </w:r>
      <w:r w:rsidR="00A5490A">
        <w:rPr>
          <w:vertAlign w:val="superscript"/>
        </w:rPr>
        <w:t xml:space="preserve">2 </w:t>
      </w:r>
      <w:r w:rsidR="00A5490A">
        <w:t>die Energie des Windes</w:t>
      </w:r>
      <w:r w:rsidR="00094BA3">
        <w:t>, die</w:t>
      </w:r>
      <w:r w:rsidR="00A5490A" w:rsidRPr="00A5490A">
        <w:t xml:space="preserve"> beim Durchströmen des Rotors an einem Standort im Jahresmittel bereitste</w:t>
      </w:r>
      <w:r w:rsidR="00A5490A">
        <w:t>ht</w:t>
      </w:r>
      <w:r w:rsidR="00A5490A" w:rsidRPr="00A5490A">
        <w:t>.</w:t>
      </w:r>
      <w:r w:rsidR="00A5490A">
        <w:br/>
      </w:r>
    </w:p>
    <w:p w14:paraId="1CA403E6" w14:textId="7724AF63" w:rsidR="00A5490A" w:rsidRDefault="00A5490A" w:rsidP="0095464A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74F4">
        <w:tab/>
      </w:r>
      <w:r w:rsidR="002274F4">
        <w:tab/>
      </w:r>
      <w:r w:rsidR="002274F4">
        <w:tab/>
        <w:t xml:space="preserve">gef: </w:t>
      </w:r>
      <w:r>
        <w:t>Dr. U. Walz</w:t>
      </w:r>
      <w:r w:rsidR="006C153B">
        <w:t>/</w:t>
      </w:r>
      <w:r w:rsidR="00CB5C9D">
        <w:t>J</w:t>
      </w:r>
      <w:r w:rsidR="006C153B">
        <w:t>.</w:t>
      </w:r>
      <w:r w:rsidR="00EE0DF0">
        <w:t xml:space="preserve"> </w:t>
      </w:r>
      <w:r w:rsidR="006C153B">
        <w:t>Übelhör</w:t>
      </w:r>
      <w:r>
        <w:t xml:space="preserve"> </w:t>
      </w:r>
      <w:r w:rsidR="002274F4">
        <w:t>3/2025</w:t>
      </w:r>
      <w:r w:rsidRPr="00A5490A">
        <w:br/>
      </w:r>
    </w:p>
    <w:sectPr w:rsidR="00A5490A" w:rsidSect="00A5490A"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EC"/>
    <w:rsid w:val="00094BA3"/>
    <w:rsid w:val="000C4921"/>
    <w:rsid w:val="002274F4"/>
    <w:rsid w:val="002D47E9"/>
    <w:rsid w:val="004B3059"/>
    <w:rsid w:val="00615751"/>
    <w:rsid w:val="00616AFB"/>
    <w:rsid w:val="006C153B"/>
    <w:rsid w:val="008E1856"/>
    <w:rsid w:val="008F2991"/>
    <w:rsid w:val="00903FEC"/>
    <w:rsid w:val="0095464A"/>
    <w:rsid w:val="00A5490A"/>
    <w:rsid w:val="00B61469"/>
    <w:rsid w:val="00C349F2"/>
    <w:rsid w:val="00CB5C9D"/>
    <w:rsid w:val="00D842E7"/>
    <w:rsid w:val="00DA7FCC"/>
    <w:rsid w:val="00EE0DF0"/>
    <w:rsid w:val="00F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9EFA"/>
  <w15:chartTrackingRefBased/>
  <w15:docId w15:val="{96F47F5D-D7AB-4F76-AF58-58957E1E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03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3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3F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3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3F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3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3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3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3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3F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3F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3F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3FEC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3FEC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3FE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3FE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3FE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3F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03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3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3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3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03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03F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03F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03FEC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3F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3FEC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03FEC"/>
    <w:rPr>
      <w:b/>
      <w:bCs/>
      <w:smallCaps/>
      <w:color w:val="2E74B5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903F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Walz</dc:creator>
  <cp:keywords/>
  <dc:description/>
  <cp:lastModifiedBy>Ulrich Walz</cp:lastModifiedBy>
  <cp:revision>8</cp:revision>
  <dcterms:created xsi:type="dcterms:W3CDTF">2025-03-05T21:54:00Z</dcterms:created>
  <dcterms:modified xsi:type="dcterms:W3CDTF">2025-03-18T07:00:00Z</dcterms:modified>
</cp:coreProperties>
</file>